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58"/>
        <w:gridCol w:w="3536"/>
        <w:tblGridChange w:id="0">
          <w:tblGrid>
            <w:gridCol w:w="6658"/>
            <w:gridCol w:w="3536"/>
          </w:tblGrid>
        </w:tblGridChange>
      </w:tblGrid>
      <w:tr>
        <w:trPr>
          <w:cantSplit w:val="0"/>
          <w:tblHeader w:val="0"/>
        </w:trPr>
        <w:tc>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48"/>
                <w:szCs w:val="48"/>
                <w:u w:val="none"/>
                <w:shd w:fill="auto" w:val="clear"/>
                <w:vertAlign w:val="baseline"/>
              </w:rPr>
            </w:pPr>
            <w:r w:rsidDel="00000000" w:rsidR="00000000" w:rsidRPr="00000000">
              <w:rPr>
                <w:rFonts w:ascii="Cambria" w:cs="Cambria" w:eastAsia="Cambria" w:hAnsi="Cambria"/>
                <w:b w:val="0"/>
                <w:i w:val="0"/>
                <w:smallCaps w:val="0"/>
                <w:strike w:val="0"/>
                <w:color w:val="000000"/>
                <w:sz w:val="48"/>
                <w:szCs w:val="48"/>
                <w:u w:val="none"/>
                <w:shd w:fill="auto" w:val="clear"/>
                <w:vertAlign w:val="baseline"/>
                <w:rtl w:val="0"/>
              </w:rPr>
              <w:t xml:space="preserve">DEPARTAMENT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CURS 202</w:t>
            </w:r>
            <w:r w:rsidDel="00000000" w:rsidR="00000000" w:rsidRPr="00000000">
              <w:rPr>
                <w:rFonts w:ascii="Cambria" w:cs="Cambria" w:eastAsia="Cambria" w:hAnsi="Cambria"/>
                <w:sz w:val="28"/>
                <w:szCs w:val="28"/>
                <w:rtl w:val="0"/>
              </w:rPr>
              <w:t xml:space="preserve">3</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-202</w:t>
            </w:r>
            <w:r w:rsidDel="00000000" w:rsidR="00000000" w:rsidRPr="00000000">
              <w:rPr>
                <w:rFonts w:ascii="Cambria" w:cs="Cambria" w:eastAsia="Cambria" w:hAnsi="Cambria"/>
                <w:sz w:val="28"/>
                <w:szCs w:val="28"/>
                <w:rtl w:val="0"/>
              </w:rPr>
              <w:t xml:space="preserve">4</w:t>
            </w:r>
            <w:r w:rsidDel="00000000" w:rsidR="00000000" w:rsidRPr="00000000">
              <w:rPr>
                <w:rtl w:val="0"/>
              </w:rPr>
            </w:r>
          </w:p>
        </w:tc>
        <w:tc>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40"/>
                <w:szCs w:val="40"/>
                <w:u w:val="none"/>
                <w:shd w:fill="auto" w:val="clear"/>
                <w:vertAlign w:val="baseline"/>
              </w:rPr>
            </w:pPr>
            <w:r w:rsidDel="00000000" w:rsidR="00000000" w:rsidRPr="00000000">
              <w:rPr>
                <w:rFonts w:ascii="Cambria" w:cs="Cambria" w:eastAsia="Cambria" w:hAnsi="Cambria"/>
                <w:b w:val="0"/>
                <w:i w:val="0"/>
                <w:smallCaps w:val="0"/>
                <w:strike w:val="0"/>
                <w:color w:val="000000"/>
                <w:sz w:val="40"/>
                <w:szCs w:val="40"/>
                <w:u w:val="none"/>
                <w:shd w:fill="auto" w:val="clear"/>
                <w:vertAlign w:val="baseline"/>
                <w:rtl w:val="0"/>
              </w:rPr>
              <w:t xml:space="preserve">2n ESO</w:t>
            </w:r>
          </w:p>
        </w:tc>
      </w:tr>
    </w:tbl>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1. QUÈ VEUREM.</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tbl>
      <w:tblPr>
        <w:tblStyle w:val="Table2"/>
        <w:tblW w:w="1019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8"/>
        <w:gridCol w:w="3398"/>
        <w:gridCol w:w="3398"/>
        <w:tblGridChange w:id="0">
          <w:tblGrid>
            <w:gridCol w:w="3398"/>
            <w:gridCol w:w="3398"/>
            <w:gridCol w:w="3398"/>
          </w:tblGrid>
        </w:tblGridChange>
      </w:tblGrid>
      <w:tr>
        <w:trPr>
          <w:cantSplit w:val="0"/>
          <w:tblHeader w:val="0"/>
        </w:trPr>
        <w:tc>
          <w:tcPr>
            <w:shd w:fill="b2a1c7"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1a AVALUACIÓ</w:t>
            </w:r>
          </w:p>
        </w:tc>
        <w:tc>
          <w:tcPr>
            <w:shd w:fill="b2a1c7" w:val="cle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2a AVALUACIÓ</w:t>
            </w:r>
          </w:p>
        </w:tc>
        <w:tc>
          <w:tcPr>
            <w:shd w:fill="b2a1c7"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3a AVALUACIÓ</w:t>
            </w:r>
          </w:p>
        </w:tc>
      </w:tr>
      <w:tr>
        <w:trPr>
          <w:cantSplit w:val="0"/>
          <w:trHeight w:val="242" w:hRule="atLeast"/>
          <w:tblHeader w:val="0"/>
        </w:trPr>
        <w:tc>
          <w:tcPr/>
          <w:p w:rsidR="00000000" w:rsidDel="00000000" w:rsidP="00000000" w:rsidRDefault="00000000" w:rsidRPr="00000000" w14:paraId="0000000D">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UNITATS: INICIAL,1, 2</w:t>
            </w:r>
            <w:r w:rsidDel="00000000" w:rsidR="00000000" w:rsidRPr="00000000">
              <w:rPr>
                <w:rtl w:val="0"/>
              </w:rPr>
            </w:r>
          </w:p>
        </w:tc>
        <w:tc>
          <w:tcPr/>
          <w:p w:rsidR="00000000" w:rsidDel="00000000" w:rsidP="00000000" w:rsidRDefault="00000000" w:rsidRPr="00000000" w14:paraId="0000000E">
            <w:pPr>
              <w:ind w:left="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UNITATS: 3, 4 </w:t>
            </w:r>
          </w:p>
          <w:p w:rsidR="00000000" w:rsidDel="00000000" w:rsidP="00000000" w:rsidRDefault="00000000" w:rsidRPr="00000000" w14:paraId="0000000F">
            <w:pPr>
              <w:ind w:left="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LLIBRE LECTURA: A Christmas Carol</w:t>
            </w:r>
          </w:p>
          <w:p w:rsidR="00000000" w:rsidDel="00000000" w:rsidP="00000000" w:rsidRDefault="00000000" w:rsidRPr="00000000" w14:paraId="00000010">
            <w:pPr>
              <w:ind w:left="36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11">
            <w:pPr>
              <w:ind w:left="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UNITATS: 5,  6</w:t>
            </w:r>
          </w:p>
          <w:p w:rsidR="00000000" w:rsidDel="00000000" w:rsidP="00000000" w:rsidRDefault="00000000" w:rsidRPr="00000000" w14:paraId="00000012">
            <w:pPr>
              <w:ind w:left="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LLIBRE LECTURA: All about the USA</w:t>
            </w:r>
          </w:p>
        </w:tc>
      </w:tr>
    </w:tb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2. COM S’AVALUARÀ.</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tbl>
      <w:tblPr>
        <w:tblStyle w:val="Table3"/>
        <w:tblW w:w="1019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7647"/>
        <w:tblGridChange w:id="0">
          <w:tblGrid>
            <w:gridCol w:w="2547"/>
            <w:gridCol w:w="7647"/>
          </w:tblGrid>
        </w:tblGridChange>
      </w:tblGrid>
      <w:tr>
        <w:trPr>
          <w:cantSplit w:val="0"/>
          <w:tblHeader w:val="0"/>
        </w:trPr>
        <w:tc>
          <w:tcP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QUALIFICACIÓ AVALUACIONS PARCIALS</w:t>
            </w:r>
          </w:p>
        </w:tc>
        <w:tc>
          <w:tcPr/>
          <w:p w:rsidR="00000000" w:rsidDel="00000000" w:rsidP="00000000" w:rsidRDefault="00000000" w:rsidRPr="00000000" w14:paraId="00000017">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 qualificació de les avaluacions es calcularà seguint els següents percentatges: </w:t>
            </w:r>
          </w:p>
          <w:p w:rsidR="00000000" w:rsidDel="00000000" w:rsidP="00000000" w:rsidRDefault="00000000" w:rsidRPr="00000000" w14:paraId="00000018">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80% Exàmens i proves</w:t>
            </w:r>
            <w:r w:rsidDel="00000000" w:rsidR="00000000" w:rsidRPr="00000000">
              <w:rPr>
                <w:rFonts w:ascii="Cambria" w:cs="Cambria" w:eastAsia="Cambria" w:hAnsi="Cambria"/>
                <w:sz w:val="22"/>
                <w:szCs w:val="22"/>
                <w:rtl w:val="0"/>
              </w:rPr>
              <w:t xml:space="preserve"> (incloent les 4 destreses: listening, speaking, reading and writing i adquisició de vocabulari i gramàtica)</w:t>
            </w:r>
          </w:p>
          <w:p w:rsidR="00000000" w:rsidDel="00000000" w:rsidP="00000000" w:rsidRDefault="00000000" w:rsidRPr="00000000" w14:paraId="00000019">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20% Actitud i treball</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1A">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 l'apartat de actitud i treball es tindrà en compte el comportament, l'interès per l'assignatura, la participació en classe, el treball diari que es reflectisca en la llibreta i el quadern de treball, realitzar les tasques assignades pel professor, l'ús de l'anglès a classe, la cura del material i l'actitud de respecte cap al professor i els companys.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QUALIFICACIÓ FINAL</w:t>
            </w:r>
          </w:p>
        </w:tc>
        <w:tc>
          <w:tcPr/>
          <w:p w:rsidR="00000000" w:rsidDel="00000000" w:rsidP="00000000" w:rsidRDefault="00000000" w:rsidRPr="00000000" w14:paraId="0000001E">
            <w:pPr>
              <w:spacing w:line="276" w:lineRule="auto"/>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La nota FINAL s'obtindrà de la mitjana ponderada de les tres avaluacions, així la segona comptarà el doble que la primera i la tercera el triple.</w:t>
            </w:r>
          </w:p>
        </w:tc>
      </w:tr>
      <w:tr>
        <w:trPr>
          <w:cantSplit w:val="0"/>
          <w:tblHeader w:val="0"/>
        </w:trPr>
        <w:tc>
          <w:tcP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RECUPERACIÓ</w:t>
            </w:r>
          </w:p>
        </w:tc>
        <w:tc>
          <w:tcPr/>
          <w:p w:rsidR="00000000" w:rsidDel="00000000" w:rsidP="00000000" w:rsidRDefault="00000000" w:rsidRPr="00000000" w14:paraId="00000020">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 es farà recuperació del exàmens parcials ni recuperació final, ja que l l’avaluació és contínua. </w:t>
            </w:r>
            <w:r w:rsidDel="00000000" w:rsidR="00000000" w:rsidRPr="00000000">
              <w:rPr>
                <w:rtl w:val="0"/>
              </w:rPr>
            </w:r>
          </w:p>
          <w:p w:rsidR="00000000" w:rsidDel="00000000" w:rsidP="00000000" w:rsidRDefault="00000000" w:rsidRPr="00000000" w14:paraId="00000021">
            <w:pPr>
              <w:ind w:left="355" w:firstLine="0"/>
              <w:jc w:val="both"/>
              <w:rPr>
                <w:rFonts w:ascii="Cambria" w:cs="Cambria" w:eastAsia="Cambria" w:hAnsi="Cambria"/>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RECUPERACIÓ PENDENT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(…si la tens suspesa!)</w:t>
            </w:r>
          </w:p>
        </w:tc>
        <w:tc>
          <w:tcPr/>
          <w:p w:rsidR="00000000" w:rsidDel="00000000" w:rsidP="00000000" w:rsidRDefault="00000000" w:rsidRPr="00000000" w14:paraId="00000024">
            <w:pPr>
              <w:spacing w:line="276" w:lineRule="auto"/>
              <w:ind w:left="60"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En tractar-se d'una assignatura que utilitza l'avaluació contínua, se </w:t>
            </w:r>
          </w:p>
          <w:p w:rsidR="00000000" w:rsidDel="00000000" w:rsidP="00000000" w:rsidRDefault="00000000" w:rsidRPr="00000000" w14:paraId="00000025">
            <w:pPr>
              <w:spacing w:line="276" w:lineRule="auto"/>
              <w:ind w:left="60"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superarà</w:t>
            </w:r>
            <w:r w:rsidDel="00000000" w:rsidR="00000000" w:rsidRPr="00000000">
              <w:rPr>
                <w:rFonts w:ascii="Cambria" w:cs="Cambria" w:eastAsia="Cambria" w:hAnsi="Cambria"/>
                <w:sz w:val="22"/>
                <w:szCs w:val="22"/>
                <w:rtl w:val="0"/>
              </w:rPr>
              <w:t xml:space="preserve"> l'assignatura pendent del curs anterior si s'aprova la primera i segona avaluació del curs actual. En el cas de no aprovar en aquest període, l’alumnat tindrà la possibilitat de realitzar un examen amb la totalitat dels continguts del curs anterior en l'últim trimestre.</w:t>
            </w: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3. QUIN MATERIAL NECESSITAREU.</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tbl>
      <w:tblPr>
        <w:tblStyle w:val="Table4"/>
        <w:tblW w:w="1019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4"/>
        <w:tblGridChange w:id="0">
          <w:tblGrid>
            <w:gridCol w:w="10194"/>
          </w:tblGrid>
        </w:tblGridChange>
      </w:tblGrid>
      <w:tr>
        <w:trPr>
          <w:cantSplit w:val="0"/>
          <w:trHeight w:val="2487.01806640625" w:hRule="atLeast"/>
          <w:tblHeader w:val="0"/>
        </w:trPr>
        <w:tc>
          <w:tcPr/>
          <w:p w:rsidR="00000000" w:rsidDel="00000000" w:rsidP="00000000" w:rsidRDefault="00000000" w:rsidRPr="00000000" w14:paraId="0000002E">
            <w:pPr>
              <w:ind w:left="36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Llibres de text:</w:t>
            </w:r>
          </w:p>
          <w:p w:rsidR="00000000" w:rsidDel="00000000" w:rsidP="00000000" w:rsidRDefault="00000000" w:rsidRPr="00000000" w14:paraId="0000002F">
            <w:pPr>
              <w:numPr>
                <w:ilvl w:val="0"/>
                <w:numId w:val="1"/>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u w:val="single"/>
                <w:rtl w:val="0"/>
              </w:rPr>
              <w:t xml:space="preserve">Options 2 Student’s Book</w:t>
            </w:r>
            <w:r w:rsidDel="00000000" w:rsidR="00000000" w:rsidRPr="00000000">
              <w:rPr>
                <w:rFonts w:ascii="Cambria" w:cs="Cambria" w:eastAsia="Cambria" w:hAnsi="Cambria"/>
                <w:sz w:val="22"/>
                <w:szCs w:val="22"/>
                <w:rtl w:val="0"/>
              </w:rPr>
              <w:t xml:space="preserve">. Ed. Burlington. (Inclós en Xarxa llibres)</w:t>
            </w:r>
          </w:p>
          <w:p w:rsidR="00000000" w:rsidDel="00000000" w:rsidP="00000000" w:rsidRDefault="00000000" w:rsidRPr="00000000" w14:paraId="00000030">
            <w:pPr>
              <w:numPr>
                <w:ilvl w:val="0"/>
                <w:numId w:val="1"/>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u w:val="single"/>
                <w:rtl w:val="0"/>
              </w:rPr>
              <w:t xml:space="preserve">Options 2 Workbook. </w:t>
            </w:r>
            <w:r w:rsidDel="00000000" w:rsidR="00000000" w:rsidRPr="00000000">
              <w:rPr>
                <w:rFonts w:ascii="Cambria" w:cs="Cambria" w:eastAsia="Cambria" w:hAnsi="Cambria"/>
                <w:sz w:val="22"/>
                <w:szCs w:val="22"/>
                <w:rtl w:val="0"/>
              </w:rPr>
              <w:t xml:space="preserve">Ed. Burlington</w:t>
            </w:r>
            <w:r w:rsidDel="00000000" w:rsidR="00000000" w:rsidRPr="00000000">
              <w:rPr>
                <w:rtl w:val="0"/>
              </w:rPr>
            </w:r>
          </w:p>
          <w:p w:rsidR="00000000" w:rsidDel="00000000" w:rsidP="00000000" w:rsidRDefault="00000000" w:rsidRPr="00000000" w14:paraId="00000031">
            <w:pPr>
              <w:ind w:left="720" w:firstLine="0"/>
              <w:rPr>
                <w:rFonts w:ascii="Cambria" w:cs="Cambria" w:eastAsia="Cambria" w:hAnsi="Cambria"/>
                <w:sz w:val="22"/>
                <w:szCs w:val="22"/>
                <w:u w:val="single"/>
              </w:rPr>
            </w:pPr>
            <w:r w:rsidDel="00000000" w:rsidR="00000000" w:rsidRPr="00000000">
              <w:rPr>
                <w:rtl w:val="0"/>
              </w:rPr>
            </w:r>
          </w:p>
          <w:p w:rsidR="00000000" w:rsidDel="00000000" w:rsidP="00000000" w:rsidRDefault="00000000" w:rsidRPr="00000000" w14:paraId="00000032">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Llibres de lectura:</w:t>
            </w:r>
          </w:p>
          <w:p w:rsidR="00000000" w:rsidDel="00000000" w:rsidP="00000000" w:rsidRDefault="00000000" w:rsidRPr="00000000" w14:paraId="00000033">
            <w:pPr>
              <w:spacing w:after="200" w:line="276"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 Charles Dickens. </w:t>
            </w:r>
            <w:r w:rsidDel="00000000" w:rsidR="00000000" w:rsidRPr="00000000">
              <w:rPr>
                <w:rFonts w:ascii="Cambria" w:cs="Cambria" w:eastAsia="Cambria" w:hAnsi="Cambria"/>
                <w:i w:val="1"/>
                <w:sz w:val="22"/>
                <w:szCs w:val="22"/>
                <w:u w:val="single"/>
                <w:rtl w:val="0"/>
              </w:rPr>
              <w:t xml:space="preserve">A Christmas Carol.</w:t>
            </w:r>
            <w:r w:rsidDel="00000000" w:rsidR="00000000" w:rsidRPr="00000000">
              <w:rPr>
                <w:rFonts w:ascii="Cambria" w:cs="Cambria" w:eastAsia="Cambria" w:hAnsi="Cambria"/>
                <w:sz w:val="22"/>
                <w:szCs w:val="22"/>
                <w:rtl w:val="0"/>
              </w:rPr>
              <w:t xml:space="preserve"> Ed. Burlington. ISBN 9789963510115</w:t>
            </w:r>
          </w:p>
          <w:p w:rsidR="00000000" w:rsidDel="00000000" w:rsidP="00000000" w:rsidRDefault="00000000" w:rsidRPr="00000000" w14:paraId="00000034">
            <w:pPr>
              <w:ind w:left="720" w:firstLine="0"/>
              <w:rPr>
                <w:rFonts w:ascii="Cambria" w:cs="Cambria" w:eastAsia="Cambria" w:hAnsi="Cambria"/>
                <w:sz w:val="12"/>
                <w:szCs w:val="12"/>
              </w:rPr>
            </w:pPr>
            <w:r w:rsidDel="00000000" w:rsidR="00000000" w:rsidRPr="00000000">
              <w:rPr>
                <w:rFonts w:ascii="Cambria" w:cs="Cambria" w:eastAsia="Cambria" w:hAnsi="Cambria"/>
                <w:sz w:val="22"/>
                <w:szCs w:val="22"/>
                <w:rtl w:val="0"/>
              </w:rPr>
              <w:t xml:space="preserve">- Emily Winston.</w:t>
            </w:r>
            <w:r w:rsidDel="00000000" w:rsidR="00000000" w:rsidRPr="00000000">
              <w:rPr>
                <w:rFonts w:ascii="Cambria" w:cs="Cambria" w:eastAsia="Cambria" w:hAnsi="Cambria"/>
                <w:i w:val="1"/>
                <w:sz w:val="22"/>
                <w:szCs w:val="22"/>
                <w:u w:val="single"/>
                <w:rtl w:val="0"/>
              </w:rPr>
              <w:t xml:space="preserve">All About the USA</w:t>
            </w:r>
            <w:r w:rsidDel="00000000" w:rsidR="00000000" w:rsidRPr="00000000">
              <w:rPr>
                <w:rFonts w:ascii="Cambria" w:cs="Cambria" w:eastAsia="Cambria" w:hAnsi="Cambria"/>
                <w:i w:val="1"/>
                <w:sz w:val="22"/>
                <w:szCs w:val="22"/>
                <w:rtl w:val="0"/>
              </w:rPr>
              <w:t xml:space="preserve">. </w:t>
            </w:r>
            <w:r w:rsidDel="00000000" w:rsidR="00000000" w:rsidRPr="00000000">
              <w:rPr>
                <w:rFonts w:ascii="Cambria" w:cs="Cambria" w:eastAsia="Cambria" w:hAnsi="Cambria"/>
                <w:sz w:val="22"/>
                <w:szCs w:val="22"/>
                <w:rtl w:val="0"/>
              </w:rPr>
              <w:t xml:space="preserve">Ed. Burlington. ISBN 9789963510139</w:t>
            </w:r>
            <w:r w:rsidDel="00000000" w:rsidR="00000000" w:rsidRPr="00000000">
              <w:rPr>
                <w:rtl w:val="0"/>
              </w:rPr>
            </w:r>
          </w:p>
        </w:tc>
      </w:tr>
    </w:tb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4"/>
          <w:szCs w:val="24"/>
          <w:u w:val="single"/>
          <w:shd w:fill="auto" w:val="clear"/>
          <w:vertAlign w:val="baseline"/>
        </w:rPr>
      </w:pPr>
      <w:bookmarkStart w:colFirst="0" w:colLast="0" w:name="_heading=h.gjdgxs" w:id="0"/>
      <w:bookmarkEnd w:id="0"/>
      <w:r w:rsidDel="00000000" w:rsidR="00000000" w:rsidRPr="00000000">
        <w:rPr>
          <w:rtl w:val="0"/>
        </w:rPr>
      </w:r>
    </w:p>
    <w:sectPr>
      <w:headerReference r:id="rId7" w:type="default"/>
      <w:footerReference r:id="rId8" w:type="default"/>
      <w:pgSz w:h="16838" w:w="11906" w:orient="portrait"/>
      <w:pgMar w:bottom="1134" w:top="567" w:left="851" w:right="851" w:header="57" w:footer="1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alibri"/>
  <w:font w:name="Times New Roman"/>
  <w:font w:name="Fede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0204.0" w:type="dxa"/>
      <w:jc w:val="left"/>
      <w:tblInd w:w="-115.0" w:type="dxa"/>
      <w:tblLayout w:type="fixed"/>
      <w:tblLook w:val="0400"/>
    </w:tblPr>
    <w:tblGrid>
      <w:gridCol w:w="10204"/>
      <w:tblGridChange w:id="0">
        <w:tblGrid>
          <w:gridCol w:w="10204"/>
        </w:tblGrid>
      </w:tblGridChange>
    </w:tblGrid>
    <w:tr>
      <w:trPr>
        <w:cantSplit w:val="0"/>
        <w:tblHeader w:val="0"/>
      </w:trPr>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695450" cy="381000"/>
                <wp:effectExtent b="0" l="0" r="0" t="0"/>
                <wp:docPr id="103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95450" cy="3810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tbl>
    <w:tblPr>
      <w:tblStyle w:val="Table5"/>
      <w:tblW w:w="10203.0" w:type="dxa"/>
      <w:jc w:val="left"/>
      <w:tblInd w:w="-130.0" w:type="dxa"/>
      <w:tblLayout w:type="fixed"/>
      <w:tblLook w:val="0000"/>
    </w:tblPr>
    <w:tblGrid>
      <w:gridCol w:w="3525"/>
      <w:gridCol w:w="3828"/>
      <w:gridCol w:w="2850"/>
      <w:tblGridChange w:id="0">
        <w:tblGrid>
          <w:gridCol w:w="3525"/>
          <w:gridCol w:w="3828"/>
          <w:gridCol w:w="2850"/>
        </w:tblGrid>
      </w:tblGridChange>
    </w:tblGrid>
    <w:tr>
      <w:trPr>
        <w:cantSplit w:val="0"/>
        <w:trHeight w:val="1476" w:hRule="atLeast"/>
        <w:tblHeader w:val="0"/>
      </w:trPr>
      <w:tc>
        <w:tcPr>
          <w:shd w:fill="auto" w:val="clear"/>
          <w:vAlign w:val="center"/>
        </w:tcPr>
        <w:p w:rsidR="00000000" w:rsidDel="00000000" w:rsidP="00000000" w:rsidRDefault="00000000" w:rsidRPr="00000000" w14:paraId="00000038">
          <w:pPr>
            <w:spacing w:after="200" w:before="28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Pr>
            <w:drawing>
              <wp:inline distB="0" distT="0" distL="0" distR="0">
                <wp:extent cx="2085975" cy="1028700"/>
                <wp:effectExtent b="0" l="0" r="0" t="0"/>
                <wp:docPr id="103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085975" cy="102870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39">
          <w:pPr>
            <w:spacing w:after="200" w:before="280" w:lineRule="auto"/>
            <w:jc w:val="center"/>
            <w:rPr>
              <w:rFonts w:ascii="Federo" w:cs="Federo" w:eastAsia="Federo" w:hAnsi="Federo"/>
              <w:b w:val="1"/>
              <w:color w:val="0070c0"/>
              <w:sz w:val="44"/>
              <w:szCs w:val="44"/>
            </w:rPr>
          </w:pPr>
          <w:r w:rsidDel="00000000" w:rsidR="00000000" w:rsidRPr="00000000">
            <w:rPr>
              <w:rFonts w:ascii="Federo" w:cs="Federo" w:eastAsia="Federo" w:hAnsi="Federo"/>
              <w:b w:val="1"/>
              <w:color w:val="0070c0"/>
              <w:sz w:val="44"/>
              <w:szCs w:val="44"/>
            </w:rPr>
            <w:drawing>
              <wp:inline distB="0" distT="0" distL="0" distR="0">
                <wp:extent cx="1019175" cy="1057275"/>
                <wp:effectExtent b="0" l="0" r="0" t="0"/>
                <wp:docPr descr="Logo Nuevo sin marco" id="1037" name="image1.jpg"/>
                <a:graphic>
                  <a:graphicData uri="http://schemas.openxmlformats.org/drawingml/2006/picture">
                    <pic:pic>
                      <pic:nvPicPr>
                        <pic:cNvPr descr="Logo Nuevo sin marco" id="0" name="image1.jpg"/>
                        <pic:cNvPicPr preferRelativeResize="0"/>
                      </pic:nvPicPr>
                      <pic:blipFill>
                        <a:blip r:embed="rId2"/>
                        <a:srcRect b="0" l="0" r="0" t="0"/>
                        <a:stretch>
                          <a:fillRect/>
                        </a:stretch>
                      </pic:blipFill>
                      <pic:spPr>
                        <a:xfrm>
                          <a:off x="0" y="0"/>
                          <a:ext cx="1019175" cy="1057275"/>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3A">
          <w:pPr>
            <w:spacing w:after="200" w:before="280" w:lineRule="auto"/>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2079625" cy="981075"/>
                    <wp:effectExtent b="0" l="0" r="0" t="0"/>
                    <wp:wrapNone/>
                    <wp:docPr id="1034" name=""/>
                    <a:graphic>
                      <a:graphicData uri="http://schemas.microsoft.com/office/word/2010/wordprocessingShape">
                        <wps:wsp>
                          <wps:cNvSpPr/>
                          <wps:cNvPr id="2" name="Shape 2"/>
                          <wps:spPr>
                            <a:xfrm>
                              <a:off x="4310950" y="3294225"/>
                              <a:ext cx="2070100" cy="971550"/>
                            </a:xfrm>
                            <a:prstGeom prst="rect">
                              <a:avLst/>
                            </a:prstGeom>
                            <a:solidFill>
                              <a:srgbClr val="D8D8D8"/>
                            </a:solidFill>
                            <a:ln>
                              <a:noFill/>
                            </a:ln>
                          </wps:spPr>
                          <wps:txbx>
                            <w:txbxContent>
                              <w:p w:rsidR="00000000" w:rsidDel="00000000" w:rsidP="00000000" w:rsidRDefault="00000000" w:rsidRPr="00000000">
                                <w:pPr>
                                  <w:spacing w:after="60" w:before="60" w:line="240"/>
                                  <w:ind w:left="0" w:right="0" w:firstLine="-2.0000000298023224"/>
                                  <w:jc w:val="center"/>
                                  <w:textDirection w:val="btLr"/>
                                </w:pPr>
                                <w:r w:rsidDel="00000000" w:rsidR="00000000" w:rsidRPr="00000000">
                                  <w:rPr>
                                    <w:rFonts w:ascii="Calibri" w:cs="Calibri" w:eastAsia="Calibri" w:hAnsi="Calibri"/>
                                    <w:b w:val="1"/>
                                    <w:i w:val="0"/>
                                    <w:smallCaps w:val="0"/>
                                    <w:strike w:val="0"/>
                                    <w:color w:val="000000"/>
                                    <w:sz w:val="16"/>
                                    <w:vertAlign w:val="baseline"/>
                                  </w:rPr>
                                  <w:t xml:space="preserve">Plaça Manuel Tolsá, S/N</w:t>
                                </w:r>
                              </w:p>
                              <w:p w:rsidR="00000000" w:rsidDel="00000000" w:rsidP="00000000" w:rsidRDefault="00000000" w:rsidRPr="00000000">
                                <w:pPr>
                                  <w:spacing w:after="60" w:before="60" w:line="240"/>
                                  <w:ind w:left="0" w:right="0" w:firstLine="-2.0000000298023224"/>
                                  <w:jc w:val="center"/>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1"/>
                                    <w:i w:val="0"/>
                                    <w:smallCaps w:val="0"/>
                                    <w:strike w:val="0"/>
                                    <w:color w:val="000000"/>
                                    <w:sz w:val="16"/>
                                    <w:vertAlign w:val="baseline"/>
                                  </w:rPr>
                                  <w:t xml:space="preserve">46810-Enguera (Valencia)</w:t>
                                </w:r>
                              </w:p>
                              <w:p w:rsidR="00000000" w:rsidDel="00000000" w:rsidP="00000000" w:rsidRDefault="00000000" w:rsidRPr="00000000">
                                <w:pPr>
                                  <w:spacing w:after="60" w:before="60" w:line="240"/>
                                  <w:ind w:left="0" w:right="0" w:firstLine="-2.0000000298023224"/>
                                  <w:jc w:val="center"/>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1"/>
                                    <w:i w:val="0"/>
                                    <w:smallCaps w:val="0"/>
                                    <w:strike w:val="0"/>
                                    <w:color w:val="000000"/>
                                    <w:sz w:val="16"/>
                                    <w:vertAlign w:val="baseline"/>
                                  </w:rPr>
                                  <w:t xml:space="preserve">Tel.: 962249085</w:t>
                                </w:r>
                                <w:r w:rsidDel="00000000" w:rsidR="00000000" w:rsidRPr="00000000">
                                  <w:rPr>
                                    <w:rFonts w:ascii="Calibri" w:cs="Calibri" w:eastAsia="Calibri" w:hAnsi="Calibri"/>
                                    <w:b w:val="0"/>
                                    <w:i w:val="0"/>
                                    <w:smallCaps w:val="0"/>
                                    <w:strike w:val="0"/>
                                    <w:color w:val="000000"/>
                                    <w:sz w:val="16"/>
                                    <w:vertAlign w:val="baseline"/>
                                  </w:rPr>
                                  <w:t xml:space="preserve"> </w:t>
                                </w:r>
                              </w:p>
                              <w:p w:rsidR="00000000" w:rsidDel="00000000" w:rsidP="00000000" w:rsidRDefault="00000000" w:rsidRPr="00000000">
                                <w:pPr>
                                  <w:spacing w:after="60" w:before="60" w:line="240"/>
                                  <w:ind w:left="0" w:right="0" w:firstLine="-2.0000000298023224"/>
                                  <w:jc w:val="center"/>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1"/>
                                    <w:i w:val="0"/>
                                    <w:smallCaps w:val="0"/>
                                    <w:strike w:val="0"/>
                                    <w:color w:val="000000"/>
                                    <w:sz w:val="16"/>
                                    <w:vertAlign w:val="baseline"/>
                                  </w:rPr>
                                  <w:t xml:space="preserve">Correu Electrònic: 46020297@edu.gva.es</w:t>
                                </w:r>
                              </w:p>
                              <w:p w:rsidR="00000000" w:rsidDel="00000000" w:rsidP="00000000" w:rsidRDefault="00000000" w:rsidRPr="00000000">
                                <w:pPr>
                                  <w:spacing w:after="0" w:before="0" w:line="240"/>
                                  <w:ind w:left="0" w:right="0" w:firstLine="-2.0000000298023224"/>
                                  <w:jc w:val="center"/>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ff"/>
                                    <w:sz w:val="15"/>
                                    <w:u w:val="single"/>
                                    <w:vertAlign w:val="baseline"/>
                                  </w:rPr>
                                  <w:t xml:space="preserve">https://portal.edu.gva.es/iesenguera/es/centre/</w:t>
                                </w:r>
                              </w:p>
                              <w:p w:rsidR="00000000" w:rsidDel="00000000" w:rsidP="00000000" w:rsidRDefault="00000000" w:rsidRPr="00000000">
                                <w:pPr>
                                  <w:spacing w:after="0" w:before="0" w:line="240"/>
                                  <w:ind w:left="0" w:right="0" w:firstLine="-2.0000000298023224"/>
                                  <w:jc w:val="center"/>
                                  <w:textDirection w:val="btLr"/>
                                </w:pPr>
                                <w:r w:rsidDel="00000000" w:rsidR="00000000" w:rsidRPr="00000000">
                                  <w:rPr>
                                    <w:rFonts w:ascii="Calibri" w:cs="Calibri" w:eastAsia="Calibri" w:hAnsi="Calibri"/>
                                    <w:b w:val="0"/>
                                    <w:i w:val="0"/>
                                    <w:smallCaps w:val="0"/>
                                    <w:strike w:val="0"/>
                                    <w:color w:val="000000"/>
                                    <w:sz w:val="15"/>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2079625" cy="981075"/>
                    <wp:effectExtent b="0" l="0" r="0" t="0"/>
                    <wp:wrapNone/>
                    <wp:docPr id="1034"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2079625" cy="981075"/>
                            </a:xfrm>
                            <a:prstGeom prst="rect"/>
                            <a:ln/>
                          </pic:spPr>
                        </pic:pic>
                      </a:graphicData>
                    </a:graphic>
                  </wp:anchor>
                </w:drawing>
              </mc:Fallback>
            </mc:AlternateContent>
          </w:r>
        </w:p>
      </w:tc>
    </w:tr>
  </w:tb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uppressAutoHyphens w:val="1"/>
    </w:pPr>
    <w:rPr>
      <w:sz w:val="24"/>
      <w:szCs w:val="24"/>
      <w:lang w:eastAsia="zh-CN"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WW8Num1z0" w:customStyle="1">
    <w:name w:val="WW8Num1z0"/>
    <w:rPr>
      <w:rFonts w:ascii="Symbol" w:cs="OpenSymbol" w:hAnsi="Symbol"/>
    </w:rPr>
  </w:style>
  <w:style w:type="character" w:styleId="WW8Num2zfalse" w:customStyle="1">
    <w:name w:val="WW8Num2zfalse"/>
  </w:style>
  <w:style w:type="character" w:styleId="WW8Num2ztrue" w:customStyle="1">
    <w:name w:val="WW8Num2ztrue"/>
  </w:style>
  <w:style w:type="character" w:styleId="WW-WW8Num2ztrue" w:customStyle="1">
    <w:name w:val="WW-WW8Num2ztrue"/>
  </w:style>
  <w:style w:type="character" w:styleId="WW-WW8Num2ztrue1" w:customStyle="1">
    <w:name w:val="WW-WW8Num2ztrue1"/>
  </w:style>
  <w:style w:type="character" w:styleId="WW-WW8Num2ztrue2" w:customStyle="1">
    <w:name w:val="WW-WW8Num2ztrue2"/>
  </w:style>
  <w:style w:type="character" w:styleId="WW-WW8Num2ztrue3" w:customStyle="1">
    <w:name w:val="WW-WW8Num2ztrue3"/>
  </w:style>
  <w:style w:type="character" w:styleId="WW-WW8Num2ztrue4" w:customStyle="1">
    <w:name w:val="WW-WW8Num2ztrue4"/>
  </w:style>
  <w:style w:type="character" w:styleId="WW-WW8Num2ztrue5" w:customStyle="1">
    <w:name w:val="WW-WW8Num2ztrue5"/>
  </w:style>
  <w:style w:type="character" w:styleId="WW-WW8Num2ztrue6" w:customStyle="1">
    <w:name w:val="WW-WW8Num2ztrue6"/>
  </w:style>
  <w:style w:type="character" w:styleId="Fuentedeprrafopredeter1" w:customStyle="1">
    <w:name w:val="Fuente de párrafo predeter.1"/>
  </w:style>
  <w:style w:type="character" w:styleId="Hipervnculo">
    <w:name w:val="Hyperlink"/>
    <w:basedOn w:val="Fuentedeprrafopredeter1"/>
    <w:rPr>
      <w:color w:val="0000ff"/>
      <w:u w:val="single"/>
    </w:rPr>
  </w:style>
  <w:style w:type="character" w:styleId="Vietas" w:customStyle="1">
    <w:name w:val="Viñetas"/>
    <w:rPr>
      <w:rFonts w:ascii="OpenSymbol" w:cs="OpenSymbol" w:eastAsia="OpenSymbol" w:hAnsi="OpenSymbol"/>
    </w:rPr>
  </w:style>
  <w:style w:type="paragraph" w:styleId="Encabezado1" w:customStyle="1">
    <w:name w:val="Encabezado1"/>
    <w:basedOn w:val="Normal"/>
    <w:next w:val="Textoindependiente"/>
    <w:pPr>
      <w:keepNext w:val="1"/>
      <w:spacing w:after="120" w:before="240"/>
    </w:pPr>
    <w:rPr>
      <w:rFonts w:ascii="Arial" w:cs="Lohit Hindi" w:eastAsia="Droid Sans Fallback" w:hAnsi="Arial"/>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styleId="Descripcin">
    <w:name w:val="caption"/>
    <w:basedOn w:val="Normal"/>
    <w:qFormat w:val="1"/>
    <w:pPr>
      <w:suppressLineNumbers w:val="1"/>
      <w:spacing w:after="120" w:before="120"/>
    </w:pPr>
    <w:rPr>
      <w:rFonts w:cs="Lohit Hindi"/>
      <w:i w:val="1"/>
      <w:iCs w:val="1"/>
    </w:rPr>
  </w:style>
  <w:style w:type="paragraph" w:styleId="ndice" w:customStyle="1">
    <w:name w:val="Índice"/>
    <w:basedOn w:val="Normal"/>
    <w:pPr>
      <w:suppressLineNumbers w:val="1"/>
    </w:pPr>
    <w:rPr>
      <w:rFonts w:cs="Lohit Hindi"/>
    </w:rPr>
  </w:style>
  <w:style w:type="paragraph" w:styleId="Adrea" w:customStyle="1">
    <w:name w:val="Adreça"/>
    <w:basedOn w:val="Normal"/>
    <w:pPr>
      <w:jc w:val="center"/>
    </w:pPr>
    <w:rPr>
      <w:sz w:val="18"/>
      <w:szCs w:val="20"/>
      <w:lang w:val="es-ES_tradnl"/>
    </w:rPr>
  </w:style>
  <w:style w:type="paragraph" w:styleId="Contenidodelatabla" w:customStyle="1">
    <w:name w:val="Contenido de la tabla"/>
    <w:basedOn w:val="Normal"/>
    <w:pPr>
      <w:suppressLineNumbers w:val="1"/>
    </w:pPr>
  </w:style>
  <w:style w:type="paragraph" w:styleId="Encabezadodelatabla" w:customStyle="1">
    <w:name w:val="Encabezado de la tabla"/>
    <w:basedOn w:val="Contenidodelatabla"/>
    <w:pPr>
      <w:jc w:val="center"/>
    </w:pPr>
    <w:rPr>
      <w:b w:val="1"/>
      <w:bCs w:val="1"/>
    </w:rPr>
  </w:style>
  <w:style w:type="paragraph" w:styleId="Encabezado">
    <w:name w:val="header"/>
    <w:basedOn w:val="Normal"/>
    <w:link w:val="EncabezadoCar"/>
    <w:uiPriority w:val="99"/>
    <w:unhideWhenUsed w:val="1"/>
    <w:rsid w:val="00D70169"/>
    <w:pPr>
      <w:tabs>
        <w:tab w:val="center" w:pos="4252"/>
        <w:tab w:val="right" w:pos="8504"/>
      </w:tabs>
    </w:pPr>
  </w:style>
  <w:style w:type="character" w:styleId="EncabezadoCar" w:customStyle="1">
    <w:name w:val="Encabezado Car"/>
    <w:basedOn w:val="Fuentedeprrafopredeter"/>
    <w:link w:val="Encabezado"/>
    <w:uiPriority w:val="99"/>
    <w:rsid w:val="00D70169"/>
    <w:rPr>
      <w:sz w:val="24"/>
      <w:szCs w:val="24"/>
      <w:lang w:eastAsia="zh-CN"/>
    </w:rPr>
  </w:style>
  <w:style w:type="paragraph" w:styleId="Piedepgina">
    <w:name w:val="footer"/>
    <w:basedOn w:val="Normal"/>
    <w:link w:val="PiedepginaCar"/>
    <w:uiPriority w:val="99"/>
    <w:unhideWhenUsed w:val="1"/>
    <w:rsid w:val="00D70169"/>
    <w:pPr>
      <w:tabs>
        <w:tab w:val="center" w:pos="4252"/>
        <w:tab w:val="right" w:pos="8504"/>
      </w:tabs>
    </w:pPr>
  </w:style>
  <w:style w:type="character" w:styleId="PiedepginaCar" w:customStyle="1">
    <w:name w:val="Pie de página Car"/>
    <w:basedOn w:val="Fuentedeprrafopredeter"/>
    <w:link w:val="Piedepgina"/>
    <w:uiPriority w:val="99"/>
    <w:rsid w:val="00D70169"/>
    <w:rPr>
      <w:sz w:val="24"/>
      <w:szCs w:val="24"/>
      <w:lang w:eastAsia="zh-CN"/>
    </w:rPr>
  </w:style>
  <w:style w:type="paragraph" w:styleId="Textodeglobo">
    <w:name w:val="Balloon Text"/>
    <w:basedOn w:val="Normal"/>
    <w:link w:val="TextodegloboCar"/>
    <w:uiPriority w:val="99"/>
    <w:semiHidden w:val="1"/>
    <w:unhideWhenUsed w:val="1"/>
    <w:rsid w:val="0076095E"/>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6095E"/>
    <w:rPr>
      <w:rFonts w:ascii="Tahoma" w:cs="Tahoma" w:hAnsi="Tahoma"/>
      <w:sz w:val="16"/>
      <w:szCs w:val="16"/>
      <w:lang w:eastAsia="zh-CN"/>
    </w:rPr>
  </w:style>
  <w:style w:type="table" w:styleId="Tablaconcuadrcula">
    <w:name w:val="Table Grid"/>
    <w:basedOn w:val="Tablanormal"/>
    <w:uiPriority w:val="59"/>
    <w:rsid w:val="00B579AD"/>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Sinespaciado">
    <w:name w:val="No Spacing"/>
    <w:uiPriority w:val="1"/>
    <w:qFormat w:val="1"/>
    <w:rsid w:val="00AF7F35"/>
    <w:pPr>
      <w:suppressAutoHyphens w:val="1"/>
    </w:pPr>
    <w:rPr>
      <w:sz w:val="24"/>
      <w:szCs w:val="24"/>
      <w:lang w:eastAsia="zh-CN" w:val="es-ES"/>
    </w:rPr>
  </w:style>
  <w:style w:type="paragraph" w:styleId="NormalWeb">
    <w:name w:val="Normal (Web)"/>
    <w:basedOn w:val="Normal"/>
    <w:rsid w:val="004E0DE1"/>
    <w:pPr>
      <w:spacing w:after="119" w:before="280"/>
    </w:pPr>
  </w:style>
  <w:style w:type="paragraph" w:styleId="Prrafodelista">
    <w:name w:val="List Paragraph"/>
    <w:basedOn w:val="Normal"/>
    <w:uiPriority w:val="34"/>
    <w:qFormat w:val="1"/>
    <w:rsid w:val="001C7D6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g"/><Relationship Id="rId3"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Z3fV21c5N1fYcucEFHabr/tmGw==">CgMxLjAyCGguZ2pkZ3hzOAByITFkTHZmd1AzbTNGeHBobXZkdkhWVkh1TENUZ2UtdEdZMg==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2022-09-06T08:07:00Z</dcterms:created>
  <dc:creator>Rafa</dc:creator>
</cp:coreProperties>
</file>