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495B1" w14:textId="77777777" w:rsidR="000C0493" w:rsidRDefault="000C0493" w:rsidP="000C0493">
      <w:pPr>
        <w:spacing w:line="36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3C5127">
        <w:rPr>
          <w:rFonts w:ascii="Times New Roman" w:eastAsia="Times New Roman" w:hAnsi="Times New Roman" w:cs="Times New Roman"/>
          <w:b/>
          <w:u w:val="single"/>
        </w:rPr>
        <w:t>CRITERIOS DE CALIFICACIÓN</w:t>
      </w:r>
      <w:r>
        <w:rPr>
          <w:rFonts w:ascii="Times New Roman" w:eastAsia="Times New Roman" w:hAnsi="Times New Roman" w:cs="Times New Roman"/>
          <w:b/>
          <w:u w:val="single"/>
        </w:rPr>
        <w:t xml:space="preserve"> Y DE EVALUACIÓN</w:t>
      </w:r>
      <w:r w:rsidRPr="003C5127">
        <w:rPr>
          <w:rFonts w:ascii="Times New Roman" w:eastAsia="Times New Roman" w:hAnsi="Times New Roman" w:cs="Times New Roman"/>
          <w:b/>
          <w:u w:val="single"/>
        </w:rPr>
        <w:t xml:space="preserve"> </w:t>
      </w:r>
    </w:p>
    <w:p w14:paraId="5D7F5DFF" w14:textId="77777777" w:rsidR="000C0493" w:rsidRDefault="000C0493" w:rsidP="000C0493">
      <w:pPr>
        <w:spacing w:line="36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3C5127">
        <w:rPr>
          <w:rFonts w:ascii="Times New Roman" w:eastAsia="Times New Roman" w:hAnsi="Times New Roman" w:cs="Times New Roman"/>
          <w:b/>
          <w:u w:val="single"/>
        </w:rPr>
        <w:t>DEPARTAMENTO FQ</w:t>
      </w:r>
    </w:p>
    <w:p w14:paraId="242EC0F2" w14:textId="77777777" w:rsidR="000329F5" w:rsidRDefault="000329F5" w:rsidP="000329F5">
      <w:pPr>
        <w:spacing w:line="360" w:lineRule="auto"/>
        <w:jc w:val="both"/>
        <w:rPr>
          <w:rFonts w:ascii="Times New Roman" w:eastAsia="Times New Roman" w:hAnsi="Times New Roman" w:cs="Times New Roman"/>
          <w:bCs/>
        </w:rPr>
      </w:pPr>
    </w:p>
    <w:p w14:paraId="00DFAAFC" w14:textId="5A68F02F" w:rsidR="000329F5" w:rsidRPr="000329F5" w:rsidRDefault="000329F5" w:rsidP="000329F5">
      <w:pPr>
        <w:spacing w:line="36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Modificaciones debido a la situación creada por la DANA del 29/10/2024. </w:t>
      </w:r>
    </w:p>
    <w:p w14:paraId="7A45F067" w14:textId="77777777" w:rsidR="000C0493" w:rsidRPr="003C5127" w:rsidRDefault="000C0493" w:rsidP="000C0493">
      <w:pPr>
        <w:spacing w:line="360" w:lineRule="auto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71564FCA" w14:textId="77777777" w:rsidR="000329F5" w:rsidRPr="000329F5" w:rsidRDefault="000329F5" w:rsidP="000329F5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0329F5">
        <w:rPr>
          <w:rFonts w:ascii="Times New Roman" w:eastAsia="Times New Roman" w:hAnsi="Times New Roman" w:cs="Times New Roman"/>
          <w:u w:val="single"/>
        </w:rPr>
        <w:t>CAMBIOS EN CALIFICACIÓN (ESO)</w:t>
      </w:r>
    </w:p>
    <w:p w14:paraId="0C6701DC" w14:textId="2ACE22DA" w:rsidR="000329F5" w:rsidRPr="000329F5" w:rsidRDefault="000329F5" w:rsidP="000329F5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0329F5">
        <w:rPr>
          <w:rFonts w:ascii="Times New Roman" w:eastAsia="Times New Roman" w:hAnsi="Times New Roman" w:cs="Times New Roman"/>
        </w:rPr>
        <w:t>Se mantienen los porcentajes de EXAMEN y ACTIVIDADES en cada nivel. </w:t>
      </w:r>
    </w:p>
    <w:p w14:paraId="4B7B0E2A" w14:textId="133C390F" w:rsidR="000329F5" w:rsidRPr="000329F5" w:rsidRDefault="000329F5" w:rsidP="000329F5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0329F5">
        <w:rPr>
          <w:rFonts w:ascii="Times New Roman" w:eastAsia="Times New Roman" w:hAnsi="Times New Roman" w:cs="Times New Roman"/>
        </w:rPr>
        <w:t>Las evaluaciones 1ª y 2ª se calificarán conjuntamente. </w:t>
      </w:r>
    </w:p>
    <w:p w14:paraId="56EFE5D5" w14:textId="2BE885DC" w:rsidR="000329F5" w:rsidRPr="000329F5" w:rsidRDefault="000329F5" w:rsidP="000329F5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0329F5">
        <w:rPr>
          <w:rFonts w:ascii="Times New Roman" w:eastAsia="Times New Roman" w:hAnsi="Times New Roman" w:cs="Times New Roman"/>
        </w:rPr>
        <w:t>Cada grupo de ESO ha hecho ya 1 examen presencial antes de la DANA. Para la calificación de EXAMEN hay dos posibilidades: </w:t>
      </w:r>
    </w:p>
    <w:p w14:paraId="5939318F" w14:textId="126405B1" w:rsidR="000329F5" w:rsidRPr="000329F5" w:rsidRDefault="000329F5" w:rsidP="000329F5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0329F5">
        <w:rPr>
          <w:rFonts w:ascii="Times New Roman" w:eastAsia="Times New Roman" w:hAnsi="Times New Roman" w:cs="Times New Roman"/>
        </w:rPr>
        <w:t>a) Si hacemos examen online: como último recurso (70 % presencial y 30 % online en EXAMEN)</w:t>
      </w:r>
    </w:p>
    <w:p w14:paraId="62EFBE8B" w14:textId="223B16B1" w:rsidR="000329F5" w:rsidRPr="000329F5" w:rsidRDefault="000329F5" w:rsidP="000329F5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0329F5">
        <w:rPr>
          <w:rFonts w:ascii="Times New Roman" w:eastAsia="Times New Roman" w:hAnsi="Times New Roman" w:cs="Times New Roman"/>
        </w:rPr>
        <w:t xml:space="preserve">b) Si hacemos presencial </w:t>
      </w:r>
      <w:proofErr w:type="spellStart"/>
      <w:r w:rsidRPr="000329F5">
        <w:rPr>
          <w:rFonts w:ascii="Times New Roman" w:eastAsia="Times New Roman" w:hAnsi="Times New Roman" w:cs="Times New Roman"/>
        </w:rPr>
        <w:t>presencial</w:t>
      </w:r>
      <w:proofErr w:type="spellEnd"/>
      <w:r w:rsidRPr="000329F5">
        <w:rPr>
          <w:rFonts w:ascii="Times New Roman" w:eastAsia="Times New Roman" w:hAnsi="Times New Roman" w:cs="Times New Roman"/>
        </w:rPr>
        <w:t>: 50 % examen 1 y 50 % examen 2 en EXAMEN</w:t>
      </w:r>
    </w:p>
    <w:p w14:paraId="6AC81512" w14:textId="4FE25167" w:rsidR="000329F5" w:rsidRPr="000329F5" w:rsidRDefault="000329F5" w:rsidP="000329F5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0329F5">
        <w:rPr>
          <w:rFonts w:ascii="Times New Roman" w:eastAsia="Times New Roman" w:hAnsi="Times New Roman" w:cs="Times New Roman"/>
        </w:rPr>
        <w:t>Para la calificación final del curso: </w:t>
      </w:r>
    </w:p>
    <w:p w14:paraId="7D2A7A0B" w14:textId="3859B2BC" w:rsidR="000329F5" w:rsidRPr="000329F5" w:rsidRDefault="000329F5" w:rsidP="000329F5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0329F5">
        <w:rPr>
          <w:rFonts w:ascii="Times New Roman" w:eastAsia="Times New Roman" w:hAnsi="Times New Roman" w:cs="Times New Roman"/>
        </w:rPr>
        <w:t>1ª/2ª evaluación: 50 % (o 40 % en caso de no hacer un segundo examen presencial de la parte vista online)</w:t>
      </w:r>
    </w:p>
    <w:p w14:paraId="6198F9EC" w14:textId="77777777" w:rsidR="000329F5" w:rsidRPr="000329F5" w:rsidRDefault="000329F5" w:rsidP="000329F5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0329F5">
        <w:rPr>
          <w:rFonts w:ascii="Times New Roman" w:eastAsia="Times New Roman" w:hAnsi="Times New Roman" w:cs="Times New Roman"/>
        </w:rPr>
        <w:t>3ª evaluación: 50 % (o 60 % en caso de no hacer un segundo examen presencial de la parte vista online)</w:t>
      </w:r>
    </w:p>
    <w:p w14:paraId="44B8AB60" w14:textId="77777777" w:rsidR="000329F5" w:rsidRDefault="000329F5" w:rsidP="000329F5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</w:p>
    <w:p w14:paraId="5623EFD5" w14:textId="77777777" w:rsidR="000329F5" w:rsidRDefault="000329F5" w:rsidP="000329F5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</w:p>
    <w:p w14:paraId="1B9F1E3E" w14:textId="77777777" w:rsidR="000329F5" w:rsidRDefault="000329F5" w:rsidP="000329F5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</w:p>
    <w:p w14:paraId="61379CC1" w14:textId="77777777" w:rsidR="000329F5" w:rsidRPr="000329F5" w:rsidRDefault="000329F5" w:rsidP="000329F5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</w:p>
    <w:p w14:paraId="7B935724" w14:textId="77777777" w:rsidR="000329F5" w:rsidRPr="000329F5" w:rsidRDefault="000329F5" w:rsidP="000329F5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</w:p>
    <w:p w14:paraId="5E82F50A" w14:textId="77777777" w:rsidR="000329F5" w:rsidRPr="000329F5" w:rsidRDefault="000329F5" w:rsidP="000329F5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0329F5">
        <w:rPr>
          <w:rFonts w:ascii="Times New Roman" w:eastAsia="Times New Roman" w:hAnsi="Times New Roman" w:cs="Times New Roman"/>
          <w:u w:val="single"/>
        </w:rPr>
        <w:lastRenderedPageBreak/>
        <w:t>BACHILLERATO: ninguna modificación</w:t>
      </w:r>
    </w:p>
    <w:p w14:paraId="2D859386" w14:textId="5F6D2DBE" w:rsidR="000329F5" w:rsidRDefault="000329F5" w:rsidP="000329F5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0329F5">
        <w:rPr>
          <w:rFonts w:ascii="Times New Roman" w:eastAsia="Times New Roman" w:hAnsi="Times New Roman" w:cs="Times New Roman"/>
        </w:rPr>
        <w:t>Se mantienen los porcentajes de EXAMEN</w:t>
      </w:r>
      <w:r w:rsidR="00F21E10">
        <w:rPr>
          <w:rFonts w:ascii="Times New Roman" w:eastAsia="Times New Roman" w:hAnsi="Times New Roman" w:cs="Times New Roman"/>
        </w:rPr>
        <w:t xml:space="preserve"> (90 %)</w:t>
      </w:r>
      <w:r w:rsidRPr="000329F5">
        <w:rPr>
          <w:rFonts w:ascii="Times New Roman" w:eastAsia="Times New Roman" w:hAnsi="Times New Roman" w:cs="Times New Roman"/>
        </w:rPr>
        <w:t xml:space="preserve"> y ACTIVIDADES</w:t>
      </w:r>
      <w:r w:rsidR="00F21E10">
        <w:rPr>
          <w:rFonts w:ascii="Times New Roman" w:eastAsia="Times New Roman" w:hAnsi="Times New Roman" w:cs="Times New Roman"/>
        </w:rPr>
        <w:t xml:space="preserve"> (10 %)</w:t>
      </w:r>
      <w:r w:rsidRPr="000329F5">
        <w:rPr>
          <w:rFonts w:ascii="Times New Roman" w:eastAsia="Times New Roman" w:hAnsi="Times New Roman" w:cs="Times New Roman"/>
        </w:rPr>
        <w:t xml:space="preserve"> en cada nivel. </w:t>
      </w:r>
    </w:p>
    <w:p w14:paraId="2D1B4815" w14:textId="4018BE03" w:rsidR="000329F5" w:rsidRDefault="000329F5" w:rsidP="000329F5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0329F5">
        <w:rPr>
          <w:rFonts w:ascii="Times New Roman" w:eastAsia="Times New Roman" w:hAnsi="Times New Roman" w:cs="Times New Roman"/>
        </w:rPr>
        <w:t>Las evaluaciones 1ª y 2ª se calificarán conjuntamente.</w:t>
      </w:r>
      <w:r>
        <w:rPr>
          <w:rFonts w:ascii="Times New Roman" w:eastAsia="Times New Roman" w:hAnsi="Times New Roman" w:cs="Times New Roman"/>
        </w:rPr>
        <w:t xml:space="preserve"> Sin embargo, el alumnado conoce su calificación de cada evaluación por separado, con lo que la calificación final del curso seguirá siendo la media aritmética de las tres evaluaciones. </w:t>
      </w:r>
    </w:p>
    <w:p w14:paraId="433C77E8" w14:textId="4944E305" w:rsidR="000329F5" w:rsidRPr="000329F5" w:rsidRDefault="00F21E10" w:rsidP="000329F5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En 2º Bachillerato, al no haber semana de exámenes tipo PAU, se seguirá el mismo criterio respecto a EXAMEN que en 1º Bachillerato. Es decir, habrá dos exámenes parciales por evaluación, cuya media constituirá el 90 % de la calificación. Asimismo, el alumnado podrá presentarse a un examen global de cada evaluación: si la nota de este examen es superior a la media de los exámenes, entonces se queda la nueva nota. En caso contrario, se queda con la nota anterior. En ningún paso se puede bajar la nota. </w:t>
      </w:r>
    </w:p>
    <w:p w14:paraId="6EDA78C5" w14:textId="77777777" w:rsidR="00A26197" w:rsidRDefault="00A26197" w:rsidP="000329F5">
      <w:pPr>
        <w:spacing w:before="240" w:after="240" w:line="360" w:lineRule="auto"/>
        <w:jc w:val="both"/>
        <w:rPr>
          <w:rFonts w:ascii="Arial" w:hAnsi="Arial"/>
          <w:sz w:val="22"/>
          <w:szCs w:val="22"/>
        </w:rPr>
      </w:pPr>
    </w:p>
    <w:sectPr w:rsidR="00A26197">
      <w:headerReference w:type="default" r:id="rId7"/>
      <w:footerReference w:type="default" r:id="rId8"/>
      <w:pgSz w:w="11906" w:h="16838"/>
      <w:pgMar w:top="2309" w:right="1134" w:bottom="1458" w:left="1134" w:header="624" w:footer="34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DC2A6" w14:textId="77777777" w:rsidR="005B715F" w:rsidRDefault="005B715F">
      <w:pPr>
        <w:rPr>
          <w:rFonts w:hint="eastAsia"/>
        </w:rPr>
      </w:pPr>
      <w:r>
        <w:separator/>
      </w:r>
    </w:p>
  </w:endnote>
  <w:endnote w:type="continuationSeparator" w:id="0">
    <w:p w14:paraId="6D4105EA" w14:textId="77777777" w:rsidR="005B715F" w:rsidRDefault="005B715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charset w:val="01"/>
    <w:family w:val="modern"/>
    <w:pitch w:val="fixed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OpenSymbol">
    <w:altName w:val="Arial Unicode MS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3BB14" w14:textId="77777777" w:rsidR="00A26197" w:rsidRDefault="00000000">
    <w:pPr>
      <w:jc w:val="center"/>
      <w:rPr>
        <w:rFonts w:ascii="Calibri" w:hAnsi="Calibri"/>
        <w:color w:val="999999"/>
      </w:rPr>
    </w:pPr>
    <w:r>
      <w:rPr>
        <w:rFonts w:ascii="Calibri" w:hAnsi="Calibri"/>
        <w:color w:val="999999"/>
        <w:sz w:val="16"/>
        <w:szCs w:val="16"/>
      </w:rPr>
      <w:t>________________________________________________________________________________________________________________________</w:t>
    </w:r>
  </w:p>
  <w:p w14:paraId="456CD119" w14:textId="77777777" w:rsidR="00A26197" w:rsidRDefault="00000000">
    <w:pPr>
      <w:jc w:val="center"/>
      <w:rPr>
        <w:rFonts w:ascii="Calibri" w:hAnsi="Calibri"/>
        <w:color w:val="000000"/>
        <w:sz w:val="20"/>
        <w:szCs w:val="20"/>
      </w:rPr>
    </w:pPr>
    <w:r>
      <w:rPr>
        <w:rFonts w:ascii="Calibri" w:hAnsi="Calibri"/>
        <w:noProof/>
        <w:color w:val="000000"/>
        <w:sz w:val="20"/>
        <w:szCs w:val="20"/>
      </w:rPr>
      <w:drawing>
        <wp:anchor distT="0" distB="0" distL="0" distR="0" simplePos="0" relativeHeight="2" behindDoc="0" locked="0" layoutInCell="1" allowOverlap="1" wp14:anchorId="6AA0600C" wp14:editId="2591AB11">
          <wp:simplePos x="0" y="0"/>
          <wp:positionH relativeFrom="column">
            <wp:posOffset>4572635</wp:posOffset>
          </wp:positionH>
          <wp:positionV relativeFrom="paragraph">
            <wp:posOffset>120650</wp:posOffset>
          </wp:positionV>
          <wp:extent cx="1506220" cy="340995"/>
          <wp:effectExtent l="0" t="0" r="0" b="0"/>
          <wp:wrapSquare wrapText="largest"/>
          <wp:docPr id="2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06220" cy="340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9E75F5" w14:textId="77777777" w:rsidR="00A26197" w:rsidRDefault="00A26197">
    <w:pPr>
      <w:jc w:val="center"/>
      <w:rPr>
        <w:rFonts w:ascii="Calibri" w:hAnsi="Calibri"/>
        <w:color w:val="000000"/>
        <w:sz w:val="20"/>
        <w:szCs w:val="20"/>
      </w:rPr>
    </w:pPr>
  </w:p>
  <w:p w14:paraId="2C203BF4" w14:textId="77777777" w:rsidR="00A26197" w:rsidRDefault="00A26197">
    <w:pPr>
      <w:jc w:val="center"/>
      <w:rPr>
        <w:rFonts w:ascii="Calibri" w:hAnsi="Calibri"/>
        <w:color w:val="000000"/>
        <w:sz w:val="20"/>
        <w:szCs w:val="20"/>
      </w:rPr>
    </w:pPr>
  </w:p>
  <w:p w14:paraId="6BA8D488" w14:textId="77777777" w:rsidR="00A26197" w:rsidRDefault="00A26197">
    <w:pPr>
      <w:jc w:val="center"/>
      <w:rPr>
        <w:rFonts w:ascii="Calibri" w:hAnsi="Calibri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854FD" w14:textId="77777777" w:rsidR="005B715F" w:rsidRDefault="005B715F">
      <w:pPr>
        <w:rPr>
          <w:rFonts w:hint="eastAsia"/>
        </w:rPr>
      </w:pPr>
      <w:r>
        <w:separator/>
      </w:r>
    </w:p>
  </w:footnote>
  <w:footnote w:type="continuationSeparator" w:id="0">
    <w:p w14:paraId="0FED9F78" w14:textId="77777777" w:rsidR="005B715F" w:rsidRDefault="005B715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9C229" w14:textId="77777777" w:rsidR="00A26197" w:rsidRDefault="00A26197">
    <w:pPr>
      <w:pStyle w:val="Encabezado"/>
      <w:tabs>
        <w:tab w:val="left" w:pos="9410"/>
      </w:tabs>
      <w:ind w:left="-737" w:right="227"/>
      <w:jc w:val="right"/>
      <w:rPr>
        <w:rStyle w:val="Textooriginal"/>
        <w:rFonts w:ascii="Calibri" w:hAnsi="Calibri"/>
      </w:rPr>
    </w:pPr>
  </w:p>
  <w:tbl>
    <w:tblPr>
      <w:tblW w:w="9581" w:type="dxa"/>
      <w:tblBorders>
        <w:bottom w:val="single" w:sz="2" w:space="0" w:color="B2B2B2"/>
        <w:insideH w:val="single" w:sz="2" w:space="0" w:color="B2B2B2"/>
      </w:tblBorders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3193"/>
      <w:gridCol w:w="3194"/>
      <w:gridCol w:w="3194"/>
    </w:tblGrid>
    <w:tr w:rsidR="00A26197" w14:paraId="6A170D15" w14:textId="77777777">
      <w:trPr>
        <w:trHeight w:val="1241"/>
      </w:trPr>
      <w:tc>
        <w:tcPr>
          <w:tcW w:w="3193" w:type="dxa"/>
          <w:tcBorders>
            <w:bottom w:val="single" w:sz="2" w:space="0" w:color="B2B2B2"/>
          </w:tcBorders>
          <w:shd w:val="clear" w:color="auto" w:fill="auto"/>
        </w:tcPr>
        <w:p w14:paraId="36DA57FE" w14:textId="77777777" w:rsidR="00A26197" w:rsidRDefault="00000000">
          <w:pPr>
            <w:pStyle w:val="Contenidodelatabla"/>
            <w:jc w:val="right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noProof/>
              <w:sz w:val="18"/>
              <w:szCs w:val="18"/>
            </w:rPr>
            <w:drawing>
              <wp:anchor distT="0" distB="0" distL="0" distR="0" simplePos="0" relativeHeight="3" behindDoc="0" locked="0" layoutInCell="1" allowOverlap="1" wp14:anchorId="0515E5A0" wp14:editId="3416D2C3">
                <wp:simplePos x="0" y="0"/>
                <wp:positionH relativeFrom="column">
                  <wp:posOffset>9525</wp:posOffset>
                </wp:positionH>
                <wp:positionV relativeFrom="paragraph">
                  <wp:posOffset>69850</wp:posOffset>
                </wp:positionV>
                <wp:extent cx="1734185" cy="603885"/>
                <wp:effectExtent l="0" t="0" r="0" b="0"/>
                <wp:wrapSquare wrapText="largest"/>
                <wp:docPr id="1" name="Image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4185" cy="6038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94" w:type="dxa"/>
          <w:tcBorders>
            <w:bottom w:val="single" w:sz="2" w:space="0" w:color="B2B2B2"/>
          </w:tcBorders>
          <w:shd w:val="clear" w:color="auto" w:fill="auto"/>
        </w:tcPr>
        <w:p w14:paraId="716E6E7B" w14:textId="77777777" w:rsidR="00A26197" w:rsidRDefault="00A26197">
          <w:pPr>
            <w:pStyle w:val="Encabezado"/>
            <w:tabs>
              <w:tab w:val="left" w:pos="9410"/>
            </w:tabs>
            <w:ind w:right="57"/>
            <w:jc w:val="right"/>
            <w:rPr>
              <w:rStyle w:val="Textooriginal"/>
              <w:rFonts w:ascii="Calibri" w:hAnsi="Calibri"/>
              <w:b/>
              <w:bCs/>
              <w:sz w:val="20"/>
              <w:szCs w:val="20"/>
            </w:rPr>
          </w:pPr>
        </w:p>
        <w:p w14:paraId="34916244" w14:textId="77777777" w:rsidR="00A26197" w:rsidRDefault="00000000">
          <w:pPr>
            <w:pStyle w:val="Encabezado"/>
            <w:tabs>
              <w:tab w:val="left" w:pos="9410"/>
            </w:tabs>
            <w:jc w:val="center"/>
            <w:rPr>
              <w:rFonts w:ascii="Calibri" w:hAnsi="Calibri"/>
              <w:sz w:val="18"/>
              <w:szCs w:val="18"/>
            </w:rPr>
          </w:pPr>
          <w:proofErr w:type="spellStart"/>
          <w:r>
            <w:rPr>
              <w:rStyle w:val="Textooriginal"/>
              <w:rFonts w:ascii="Calibri" w:hAnsi="Calibri"/>
              <w:b/>
              <w:bCs/>
              <w:sz w:val="20"/>
              <w:szCs w:val="20"/>
            </w:rPr>
            <w:t>Institut</w:t>
          </w:r>
          <w:proofErr w:type="spellEnd"/>
          <w:r>
            <w:rPr>
              <w:rStyle w:val="Textooriginal"/>
              <w:rFonts w:ascii="Calibri" w:hAnsi="Calibri"/>
              <w:b/>
              <w:bCs/>
              <w:sz w:val="20"/>
              <w:szCs w:val="20"/>
            </w:rPr>
            <w:t xml:space="preserve"> </w:t>
          </w:r>
          <w:proofErr w:type="spellStart"/>
          <w:r>
            <w:rPr>
              <w:rStyle w:val="Textooriginal"/>
              <w:rFonts w:ascii="Calibri" w:hAnsi="Calibri"/>
              <w:b/>
              <w:bCs/>
              <w:sz w:val="20"/>
              <w:szCs w:val="20"/>
            </w:rPr>
            <w:t>d'Educació</w:t>
          </w:r>
          <w:proofErr w:type="spellEnd"/>
          <w:r>
            <w:rPr>
              <w:rStyle w:val="Textooriginal"/>
              <w:rFonts w:ascii="Calibri" w:hAnsi="Calibri"/>
              <w:b/>
              <w:bCs/>
              <w:sz w:val="20"/>
              <w:szCs w:val="20"/>
            </w:rPr>
            <w:t xml:space="preserve"> </w:t>
          </w:r>
          <w:proofErr w:type="spellStart"/>
          <w:r>
            <w:rPr>
              <w:rStyle w:val="Textooriginal"/>
              <w:rFonts w:ascii="Calibri" w:hAnsi="Calibri"/>
              <w:b/>
              <w:bCs/>
              <w:sz w:val="20"/>
              <w:szCs w:val="20"/>
            </w:rPr>
            <w:t>Secundària</w:t>
          </w:r>
          <w:proofErr w:type="spellEnd"/>
        </w:p>
        <w:p w14:paraId="48738EAA" w14:textId="77777777" w:rsidR="00A26197" w:rsidRDefault="00000000">
          <w:pPr>
            <w:pStyle w:val="Encabezado"/>
            <w:tabs>
              <w:tab w:val="left" w:pos="9410"/>
            </w:tabs>
            <w:jc w:val="center"/>
            <w:rPr>
              <w:rFonts w:ascii="Calibri" w:hAnsi="Calibri"/>
              <w:sz w:val="18"/>
              <w:szCs w:val="18"/>
            </w:rPr>
          </w:pPr>
          <w:r>
            <w:rPr>
              <w:rStyle w:val="Textooriginal"/>
              <w:rFonts w:ascii="Calibri" w:hAnsi="Calibri"/>
              <w:b/>
              <w:bCs/>
              <w:sz w:val="20"/>
              <w:szCs w:val="20"/>
            </w:rPr>
            <w:t>Berenguer Dalmau</w:t>
          </w:r>
        </w:p>
      </w:tc>
      <w:tc>
        <w:tcPr>
          <w:tcW w:w="3194" w:type="dxa"/>
          <w:tcBorders>
            <w:bottom w:val="single" w:sz="2" w:space="0" w:color="B2B2B2"/>
          </w:tcBorders>
          <w:shd w:val="clear" w:color="auto" w:fill="auto"/>
        </w:tcPr>
        <w:p w14:paraId="1434DFEF" w14:textId="77777777" w:rsidR="00A26197" w:rsidRDefault="00000000">
          <w:pPr>
            <w:pStyle w:val="Encabezado"/>
            <w:tabs>
              <w:tab w:val="left" w:pos="9410"/>
            </w:tabs>
            <w:ind w:left="-737" w:right="57"/>
            <w:jc w:val="right"/>
            <w:rPr>
              <w:rFonts w:ascii="Calibri" w:hAnsi="Calibri"/>
              <w:sz w:val="18"/>
              <w:szCs w:val="18"/>
            </w:rPr>
          </w:pPr>
          <w:r>
            <w:rPr>
              <w:rStyle w:val="Textooriginal"/>
              <w:rFonts w:ascii="Calibri" w:hAnsi="Calibri"/>
              <w:sz w:val="20"/>
              <w:szCs w:val="20"/>
            </w:rPr>
            <w:t xml:space="preserve"> Av. Blasco Ibáñez, 13 </w:t>
          </w:r>
        </w:p>
        <w:p w14:paraId="4B7F94F0" w14:textId="77777777" w:rsidR="00A26197" w:rsidRDefault="00000000">
          <w:pPr>
            <w:pStyle w:val="Encabezado"/>
            <w:tabs>
              <w:tab w:val="left" w:pos="9410"/>
            </w:tabs>
            <w:ind w:left="-737" w:right="57"/>
            <w:jc w:val="right"/>
            <w:rPr>
              <w:rFonts w:ascii="Calibri" w:hAnsi="Calibri"/>
              <w:sz w:val="18"/>
              <w:szCs w:val="18"/>
            </w:rPr>
          </w:pPr>
          <w:r>
            <w:rPr>
              <w:rStyle w:val="Textooriginal"/>
              <w:rFonts w:ascii="Calibri" w:hAnsi="Calibri"/>
              <w:sz w:val="20"/>
              <w:szCs w:val="20"/>
            </w:rPr>
            <w:t>CATARROJA (València)</w:t>
          </w:r>
        </w:p>
        <w:p w14:paraId="78818F1B" w14:textId="77777777" w:rsidR="00A26197" w:rsidRDefault="00A26197">
          <w:pPr>
            <w:pStyle w:val="Encabezado"/>
            <w:tabs>
              <w:tab w:val="left" w:pos="9410"/>
            </w:tabs>
            <w:ind w:left="-737" w:right="57"/>
            <w:jc w:val="right"/>
            <w:rPr>
              <w:rFonts w:ascii="Calibri" w:hAnsi="Calibri"/>
              <w:sz w:val="18"/>
              <w:szCs w:val="18"/>
            </w:rPr>
          </w:pPr>
          <w:hyperlink r:id="rId2">
            <w:r>
              <w:rPr>
                <w:rStyle w:val="Textooriginal"/>
                <w:rFonts w:ascii="Calibri" w:hAnsi="Calibri"/>
                <w:color w:val="000000"/>
                <w:sz w:val="20"/>
                <w:szCs w:val="20"/>
              </w:rPr>
              <w:t>4</w:t>
            </w:r>
          </w:hyperlink>
          <w:hyperlink r:id="rId3">
            <w:r>
              <w:rPr>
                <w:rStyle w:val="Textooriginal"/>
                <w:rFonts w:ascii="Calibri" w:hAnsi="Calibri"/>
                <w:color w:val="000000"/>
                <w:sz w:val="20"/>
                <w:szCs w:val="20"/>
              </w:rPr>
              <w:t>6002969@gva.es</w:t>
            </w:r>
          </w:hyperlink>
          <w:r w:rsidR="00000000">
            <w:rPr>
              <w:rStyle w:val="Textooriginal"/>
              <w:rFonts w:ascii="Calibri" w:hAnsi="Calibri"/>
              <w:sz w:val="20"/>
              <w:szCs w:val="20"/>
            </w:rPr>
            <w:t xml:space="preserve"> </w:t>
          </w:r>
        </w:p>
        <w:p w14:paraId="1D5BE96F" w14:textId="77777777" w:rsidR="00A26197" w:rsidRDefault="00000000">
          <w:pPr>
            <w:pStyle w:val="Encabezado"/>
            <w:tabs>
              <w:tab w:val="left" w:pos="9410"/>
            </w:tabs>
            <w:ind w:left="-737" w:right="57"/>
            <w:jc w:val="right"/>
            <w:rPr>
              <w:rFonts w:ascii="Calibri" w:hAnsi="Calibri"/>
              <w:sz w:val="18"/>
              <w:szCs w:val="18"/>
            </w:rPr>
          </w:pPr>
          <w:r>
            <w:rPr>
              <w:rStyle w:val="Textooriginal"/>
              <w:rFonts w:ascii="Calibri" w:hAnsi="Calibri"/>
              <w:sz w:val="20"/>
              <w:szCs w:val="20"/>
            </w:rPr>
            <w:t>Tel. 96 120 61 55</w:t>
          </w:r>
        </w:p>
      </w:tc>
    </w:tr>
  </w:tbl>
  <w:p w14:paraId="115DBC98" w14:textId="77777777" w:rsidR="00A26197" w:rsidRDefault="00000000">
    <w:pPr>
      <w:pStyle w:val="Encabezado"/>
      <w:tabs>
        <w:tab w:val="left" w:pos="9410"/>
      </w:tabs>
      <w:ind w:left="-737" w:right="57"/>
      <w:jc w:val="right"/>
      <w:rPr>
        <w:rFonts w:hint="eastAsia"/>
      </w:rPr>
    </w:pPr>
    <w:r>
      <w:rPr>
        <w:rStyle w:val="Textooriginal"/>
        <w:rFonts w:ascii="Calibri" w:hAnsi="Calibri"/>
        <w:sz w:val="20"/>
        <w:szCs w:val="20"/>
      </w:rPr>
      <w:t xml:space="preserve">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F6C63"/>
    <w:multiLevelType w:val="multilevel"/>
    <w:tmpl w:val="D28254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88331C2"/>
    <w:multiLevelType w:val="multilevel"/>
    <w:tmpl w:val="5A8C1D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1773666"/>
    <w:multiLevelType w:val="hybridMultilevel"/>
    <w:tmpl w:val="5FA83AD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A238A"/>
    <w:multiLevelType w:val="multilevel"/>
    <w:tmpl w:val="4ACE0FC2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29446560">
    <w:abstractNumId w:val="3"/>
  </w:num>
  <w:num w:numId="2" w16cid:durableId="567424595">
    <w:abstractNumId w:val="1"/>
  </w:num>
  <w:num w:numId="3" w16cid:durableId="1238325157">
    <w:abstractNumId w:val="0"/>
  </w:num>
  <w:num w:numId="4" w16cid:durableId="1134710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6197"/>
    <w:rsid w:val="000329F5"/>
    <w:rsid w:val="000C0493"/>
    <w:rsid w:val="003C6F7D"/>
    <w:rsid w:val="003D1A13"/>
    <w:rsid w:val="00421C83"/>
    <w:rsid w:val="00526D49"/>
    <w:rsid w:val="00580735"/>
    <w:rsid w:val="005B715F"/>
    <w:rsid w:val="006D5D36"/>
    <w:rsid w:val="006E537C"/>
    <w:rsid w:val="007218F4"/>
    <w:rsid w:val="0084528D"/>
    <w:rsid w:val="00964465"/>
    <w:rsid w:val="00A26197"/>
    <w:rsid w:val="00AB2895"/>
    <w:rsid w:val="00B24542"/>
    <w:rsid w:val="00E36180"/>
    <w:rsid w:val="00F21E10"/>
    <w:rsid w:val="00F3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B141F"/>
  <w15:docId w15:val="{AAC3733C-7E43-4BD2-875F-F4D5C8A9B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 w:val="24"/>
        <w:szCs w:val="24"/>
        <w:lang w:val="es-E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Textoindependiente"/>
    <w:uiPriority w:val="9"/>
    <w:qFormat/>
    <w:pPr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next w:val="Textoindependiente"/>
    <w:uiPriority w:val="9"/>
    <w:semiHidden/>
    <w:unhideWhenUsed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Textoindependiente"/>
    <w:uiPriority w:val="9"/>
    <w:semiHidden/>
    <w:unhideWhenUsed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EnlacedeInternetvisitado">
    <w:name w:val="Enlace de Internet visitado"/>
    <w:rPr>
      <w:color w:val="800000"/>
      <w:u w:val="single"/>
    </w:rPr>
  </w:style>
  <w:style w:type="character" w:customStyle="1" w:styleId="Textooriginal">
    <w:name w:val="Texto original"/>
    <w:qFormat/>
    <w:rPr>
      <w:rFonts w:ascii="Liberation Mono" w:eastAsia="NSimSun" w:hAnsi="Liberation Mono" w:cs="Liberation Mono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Textoindependiente"/>
    <w:uiPriority w:val="10"/>
    <w:qFormat/>
    <w:pPr>
      <w:jc w:val="center"/>
    </w:pPr>
    <w:rPr>
      <w:b/>
      <w:bCs/>
      <w:sz w:val="56"/>
      <w:szCs w:val="56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ncabezad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Cita">
    <w:name w:val="Quote"/>
    <w:basedOn w:val="Normal"/>
    <w:qFormat/>
    <w:pPr>
      <w:spacing w:after="283"/>
      <w:ind w:left="567" w:right="567"/>
    </w:pPr>
  </w:style>
  <w:style w:type="paragraph" w:styleId="Subttulo">
    <w:name w:val="Subtitle"/>
    <w:basedOn w:val="Normal"/>
    <w:next w:val="Textoindependiente"/>
    <w:uiPriority w:val="11"/>
    <w:qFormat/>
    <w:pPr>
      <w:spacing w:before="60" w:after="120"/>
      <w:jc w:val="center"/>
    </w:pPr>
    <w:rPr>
      <w:sz w:val="36"/>
      <w:szCs w:val="36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Prrafodelista">
    <w:name w:val="List Paragraph"/>
    <w:basedOn w:val="Normal"/>
    <w:uiPriority w:val="34"/>
    <w:qFormat/>
    <w:rsid w:val="000C0493"/>
    <w:pPr>
      <w:spacing w:line="276" w:lineRule="auto"/>
      <w:ind w:left="720"/>
      <w:contextualSpacing/>
    </w:pPr>
    <w:rPr>
      <w:rFonts w:ascii="Arial" w:eastAsia="Arial" w:hAnsi="Arial" w:cs="Arial"/>
      <w:kern w:val="0"/>
      <w:sz w:val="22"/>
      <w:szCs w:val="22"/>
      <w:lang w:val="es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6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4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46002969@gva.es" TargetMode="External"/><Relationship Id="rId2" Type="http://schemas.openxmlformats.org/officeDocument/2006/relationships/hyperlink" Target="mailto:46002969@gva.e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261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Juan José Serrano Pérez</cp:lastModifiedBy>
  <cp:revision>13</cp:revision>
  <dcterms:created xsi:type="dcterms:W3CDTF">2020-07-01T10:44:00Z</dcterms:created>
  <dcterms:modified xsi:type="dcterms:W3CDTF">2025-02-13T21:31:00Z</dcterms:modified>
  <dc:language>es-ES</dc:language>
</cp:coreProperties>
</file>